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ind w:left="0" w:right="0" w:firstLine="709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Компенсация расходов, связанных с оздоровлением и реабилитацией детей - инвалидов в 2021-2023 годах</w:t>
      </w:r>
    </w:p>
    <w:p>
      <w:pPr>
        <w:pStyle w:val="Style15"/>
        <w:jc w:val="both"/>
        <w:rPr/>
      </w:pPr>
      <w:hyperlink r:id="rId2">
        <w:r>
          <w:rPr>
            <w:rStyle w:val="Style12"/>
          </w:rPr>
          <w:t>        </w:t>
        </w:r>
        <w:r>
          <w:rPr>
            <w:rStyle w:val="Style12"/>
            <w:u w:val="none"/>
          </w:rPr>
          <w:t xml:space="preserve"> </w:t>
        </w:r>
        <w:r>
          <w:rPr>
            <w:rStyle w:val="Style12"/>
            <w:rFonts w:cs="times new roman;times" w:ascii="times new roman;times" w:hAnsi="times new roman;times"/>
            <w:sz w:val="27"/>
            <w:u w:val="none"/>
          </w:rPr>
          <w:t>Постановлением Правительства Челябинской области от 11 марта 2021 г.           № 76-П «О Порядке компенсации в 2021-2023 годах расходов, связанных с оздоровлением и реабилитацией детей-инвалидов»</w:t>
        </w:r>
      </w:hyperlink>
      <w:r>
        <w:rPr>
          <w:rFonts w:cs="times new roman;times" w:ascii="times new roman;times" w:hAnsi="times new roman;times"/>
          <w:sz w:val="27"/>
        </w:rPr>
        <w:t xml:space="preserve"> определены правила предоставления компенсации за счет средств областного бюджета одному из родителей за самостоятельно оплаченные услуги по оздоровлению и реабилитации (с продолжительностью курса оздоровления (реабилитации) не менее 21 календарного дня) детей-инвалидов, не достигших 18 лет на дату получения услуг по оздоровлению и реабилитации, в организациях, основная деятельность которых направлена на реализацию услуг по оздоровлению и реабилитации.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Право на компенсацию имеет один из родителей (единственный родитель, законный представитель), который самостоятельно оплатил услуги организации оздоровления и реабилитации и является: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- гражданином Российской Федерации, постоянно проживающим на территории Челябинской области;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- иностранным гражданином или лицом без гражданства, постоянно проживающим на территории Челябинской области не менее 3 лет.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Компенсация предоставляется заявителю ежегодно один раз в год за услуги по оздоровлению и реабилитации ребенка-инвалида, оказанные в период 2021-2023 годов.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 xml:space="preserve">Размер компенсации равен стоимости услуг (с учетом налога на добавленную стоимость), оказанных детям-инвалидам организацией оздоровления и реабилитации, но не более </w:t>
      </w:r>
      <w:r>
        <w:rPr>
          <w:rStyle w:val="Style13"/>
          <w:rFonts w:cs="times new roman;times" w:ascii="times new roman;times" w:hAnsi="times new roman;times"/>
          <w:sz w:val="27"/>
        </w:rPr>
        <w:t xml:space="preserve">28 754,00 </w:t>
      </w:r>
      <w:r>
        <w:rPr>
          <w:rFonts w:cs="times new roman;times" w:ascii="times new roman;times" w:hAnsi="times new roman;times"/>
          <w:sz w:val="27"/>
        </w:rPr>
        <w:t>рубля на каждого ребенка-инвалида, получившего услуги по оздоровлению и реабилитации.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Компенсации подлежат расходы, связанные с оздоровлением и реабилитацией только детей-инвалидов. Компенсация не распространяется на лиц, сопровождающих детей-инвалидов.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Предоставление компенсации осуществляется в пределах средств областного бюджета, предусмотренных бюджетом Челябинской области на соответствующий финансовый год и плановый период на указанные цели.</w:t>
      </w:r>
    </w:p>
    <w:p>
      <w:pPr>
        <w:pStyle w:val="Style15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Компенсация предоставляется в следующем финансовом году в случае предоставления документов позднее 15 ноября в период с 2021 по 2022 год.</w:t>
      </w:r>
      <w:r>
        <w:rPr/>
        <w:t xml:space="preserve"> </w:t>
      </w:r>
      <w:r>
        <w:rPr>
          <w:rFonts w:cs="times new roman;times" w:ascii="times new roman;times" w:hAnsi="times new roman;times"/>
          <w:sz w:val="27"/>
        </w:rPr>
        <w:t>При предоставлении документов позднее 15 ноября 2023 года компенсация не предоставляется.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Компенсация не предоставляется в случае, если услуги организации оздоровления и реабилитации оказаны детям-инвалидам, получившим в течение 2021-2023 годов: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1) путевку на санаторно-курортное лечение, предоставляемую государственным учреждением - Челябинским региональным отделением Фонда социального страхования Российской Федерации;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2) реабилитационные услуги в государственных и муниципальных учреждениях здравоохранения, предоставляемые в рамках Территориальной программы государственных гарантий бесплатного оказания гражданам медицинской помощи в Челябинской области на 2021 год и на плановый период 2022 и 2023 годов, утвержденной постановлением Правительства Челябинской области от 29.12.2020 г. № 758-П «О Территориальной программе государственных гарантий бесплатного оказания гражданам медицинской помощи в Челябинской области на 2021 год и на плановый период 2022 и 2023 годов»;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Предоставление компенсации производится Министерством социальных отношений Челябинской области на основании письменного заявления о предоставлении компенсации по форме, утвержденной Министерством.</w:t>
      </w:r>
    </w:p>
    <w:p>
      <w:pPr>
        <w:pStyle w:val="Style15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К заявлению прилагаются следующие документы:</w:t>
      </w:r>
    </w:p>
    <w:p>
      <w:pPr>
        <w:pStyle w:val="Style15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1) копии документов, удостоверяющих личность заявителя;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2) копии документов, подтверждающих постоянное проживание на территории Челябинской области заявителя и детей-инвалидов, получивших услуги по оздоровлению и реабилитации, в том числе вид на жительство для иностранных граждан и лиц без гражданства, постоянно проживающих на территории Челябинской области;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3) копии свидетельств о рождении детей-инвалидов (для детей старше 14 лет также копия паспорта), получивших услуги по оздоровлению и реабилитации;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4) копия акта органа опеки и попечительства о назначении опекуна или попечителя - для опекуна или попечителя;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5) договор об оказании услуг или иной документ, подтверждающий пребывание детей-инвалидов в организации оздоровления и реабилитации, заверенный подписью руководителя и печатью организации оздоровления и реабилитации (при наличии);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6) платежный документ, подтверждающий факт оплаты заявителем услуг, оказанных детям-инвалидам организацией оздоровления и реабилитации (кассовый чек, платежное поручение, электронный чек);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7) копия справки, подтверждающей факт установления инвалидности, выданной федеральным государственным учреждением медико-социальной экспертизы, или копия официального документа, выданного медицинской  организацией государственной или муниципальной системы здравоохранения, о наличии у ребенка ВИЧ-инфекции – в случае, если ребенок является ВИЧ-инфицированным;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8) выписка из учредительных документов организации оздоровления и реабилитации, подтверждающая вид деятельности, направленной на оказание реабилитационных услуг детям-инвалидам.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В случае предоставления услуг организациями оздоровления и  реабилитации, находящимися на территории иностранных государств, заявитель также предоставляет нотариально заверенный в установленном порядке перевод документов на русский язык.</w:t>
      </w:r>
    </w:p>
    <w:p>
      <w:pPr>
        <w:pStyle w:val="Style15"/>
        <w:jc w:val="both"/>
        <w:rPr/>
      </w:pPr>
      <w:r>
        <w:rPr/>
        <w:t xml:space="preserve">        </w:t>
      </w:r>
      <w:r>
        <w:rPr>
          <w:rFonts w:cs="times new roman;times" w:ascii="times new roman;times" w:hAnsi="times new roman;times"/>
          <w:sz w:val="27"/>
        </w:rPr>
        <w:t>Копии представленных заявителем документов заверяются должностными лицами, ответственными за их прием, после сверки копий с оригиналами данных документов.</w:t>
      </w:r>
    </w:p>
    <w:p>
      <w:pPr>
        <w:pStyle w:val="NoSpacing"/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Прием документов осуществляется по адресу: </w:t>
      </w:r>
    </w:p>
    <w:p>
      <w:pPr>
        <w:pStyle w:val="NoSpacing"/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ул. Артиллерийская, 109, каб.118, в понедельник, среда,  четверг,  с 8.00-17.00 (перерыв с 12.00 — 12.45)</w:t>
      </w:r>
    </w:p>
    <w:p>
      <w:pPr>
        <w:pStyle w:val="NoSpacing"/>
        <w:numPr>
          <w:ilvl w:val="0"/>
          <w:numId w:val="0"/>
        </w:numPr>
        <w:spacing w:lineRule="auto" w:line="240" w:beforeAutospacing="1" w:after="150"/>
        <w:ind w:left="0" w:right="0" w:firstLine="709"/>
        <w:jc w:val="center"/>
        <w:outlineLvl w:val="0"/>
        <w:rPr/>
      </w:pPr>
      <w:r>
        <w:rPr>
          <w:b/>
          <w:bCs/>
          <w:sz w:val="30"/>
          <w:szCs w:val="30"/>
        </w:rPr>
        <w:t>Телефон для справок:  243 28 62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altName w:val="times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0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93009"/>
    <w:rPr>
      <w:b/>
      <w:bCs/>
    </w:rPr>
  </w:style>
  <w:style w:type="character" w:styleId="Style11" w:customStyle="1">
    <w:name w:val="Гипертекстовая ссылка"/>
    <w:basedOn w:val="DefaultParagraphFont"/>
    <w:uiPriority w:val="99"/>
    <w:qFormat/>
    <w:rsid w:val="00c61ceb"/>
    <w:rPr>
      <w:color w:val="106BBE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PT Sans" w:hAnsi="PT Sans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NormalWeb">
    <w:name w:val="Normal (Web)"/>
    <w:basedOn w:val="Normal"/>
    <w:uiPriority w:val="99"/>
    <w:unhideWhenUsed/>
    <w:qFormat/>
    <w:rsid w:val="00c93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740020210312001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LibreOffice/5.0.2.2$Linux_X86_64 LibreOffice_project/00m0$Build-2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2020-07-21T10:23:00Z</dcterms:created>
  <dc:creator>user</dc:creator>
  <dc:language>ru-RU</dc:language>
  <dcterms:modified xsi:type="dcterms:W3CDTF">2021-04-12T11:14:32Z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